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spacing w:after="60"/>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21</w:t>
      </w:r>
      <w:r>
        <w:tab/>
      </w:r>
      <w:r>
        <w:t>R</w:t>
      </w:r>
      <w:r>
        <w:rPr>
          <w:rFonts w:hint="eastAsia" w:eastAsia="宋体"/>
          <w:lang w:val="en-US" w:eastAsia="zh-CN"/>
        </w:rPr>
        <w:t>2</w:t>
      </w:r>
      <w:r>
        <w:t>-</w:t>
      </w:r>
      <w:r>
        <w:rPr>
          <w:rFonts w:hint="eastAsia" w:eastAsia="宋体"/>
          <w:lang w:val="en-US" w:eastAsia="zh-CN"/>
        </w:rPr>
        <w:t>2300356</w:t>
      </w:r>
    </w:p>
    <w:p>
      <w:pPr>
        <w:pStyle w:val="39"/>
        <w:rPr>
          <w:rFonts w:hint="eastAsia" w:eastAsia="宋体"/>
          <w:lang w:eastAsia="zh-CN"/>
        </w:rPr>
      </w:pPr>
      <w:r>
        <w:rPr>
          <w:rFonts w:hint="eastAsia" w:ascii="Arial" w:hAnsi="Arial" w:cs="Arial"/>
          <w:b/>
          <w:bCs/>
          <w:kern w:val="0"/>
          <w:sz w:val="24"/>
          <w:lang w:val="en-US" w:eastAsia="zh-CN"/>
        </w:rPr>
        <w:t>Athens, Greece, February-March, 202</w:t>
      </w:r>
      <w:r>
        <w:rPr>
          <w:rFonts w:hint="eastAsia" w:eastAsia="宋体"/>
          <w:lang w:val="en-US" w:eastAsia="zh-CN"/>
        </w:rPr>
        <w:t>3</w:t>
      </w:r>
    </w:p>
    <w:p>
      <w:pPr>
        <w:pStyle w:val="39"/>
        <w:spacing w:after="0"/>
        <w:rPr>
          <w:rFonts w:cs="Arial"/>
          <w:sz w:val="22"/>
        </w:rPr>
      </w:pP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5</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sz w:val="22"/>
          <w:lang w:val="en-US" w:eastAsia="zh-CN"/>
        </w:rPr>
        <w:t>Discussion on Rel-18 other QoE enhancement</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9"/>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val="en-US" w:eastAsia="zh-CN"/>
              </w:rPr>
              <w:t xml:space="preserve"> the </w:t>
            </w:r>
            <w:r>
              <w:rPr>
                <w:i/>
                <w:iCs/>
              </w:rPr>
              <w:t>additional service types</w:t>
            </w:r>
            <w:r>
              <w:rPr>
                <w:rFonts w:hint="eastAsia"/>
                <w:i/>
                <w:iCs/>
                <w:lang w:val="en-US" w:eastAsia="zh-CN"/>
              </w:rPr>
              <w:t>, and</w:t>
            </w:r>
            <w:r>
              <w:rPr>
                <w:i/>
                <w:iCs/>
              </w:rPr>
              <w:t xml:space="preserve"> </w:t>
            </w:r>
            <w:r>
              <w:rPr>
                <w:rFonts w:hint="eastAsia"/>
                <w:i/>
                <w:iCs/>
                <w:lang w:val="en-US" w:eastAsia="zh-CN"/>
              </w:rPr>
              <w:t>the existing service if needed</w:t>
            </w:r>
            <w:r>
              <w:rPr>
                <w:i/>
                <w:iCs/>
              </w:rPr>
              <w:t>, and the coordination with SA4 is needed</w:t>
            </w:r>
            <w:r>
              <w:rPr>
                <w:rFonts w:hint="eastAsia"/>
                <w:i/>
                <w:iCs/>
                <w:lang w:val="en-US" w:eastAsia="zh-CN"/>
              </w:rPr>
              <w:t xml:space="preserve"> </w:t>
            </w:r>
            <w:r>
              <w:rPr>
                <w:bCs/>
                <w:i/>
                <w:iCs/>
              </w:rPr>
              <w:t>[RAN3, RAN2].</w:t>
            </w:r>
          </w:p>
          <w:p>
            <w:pPr>
              <w:numPr>
                <w:ilvl w:val="0"/>
                <w:numId w:val="8"/>
              </w:numPr>
              <w:spacing w:after="0"/>
              <w:rPr>
                <w:bCs/>
                <w:i/>
                <w:iCs/>
                <w:lang w:eastAsia="zh-CN"/>
              </w:rPr>
            </w:pPr>
            <w:r>
              <w:rPr>
                <w:rFonts w:hint="eastAsia"/>
                <w:bCs/>
                <w:i/>
                <w:iCs/>
                <w:lang w:val="en-US" w:eastAsia="zh-CN"/>
              </w:rPr>
              <w:t xml:space="preserve">Specify the new service and the existing service </w:t>
            </w:r>
            <w:r>
              <w:rPr>
                <w:i/>
                <w:iCs/>
              </w:rPr>
              <w:t>defined or to be supported by SA4</w:t>
            </w:r>
            <w:r>
              <w:rPr>
                <w:rFonts w:hint="eastAsia"/>
                <w:i/>
                <w:iCs/>
                <w:lang w:val="en-US" w:eastAsia="zh-CN"/>
              </w:rPr>
              <w:t>,</w:t>
            </w:r>
            <w:r>
              <w:rPr>
                <w:rFonts w:hint="eastAsia"/>
                <w:bCs/>
                <w:i/>
                <w:iCs/>
                <w:lang w:val="en-US"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i/>
                <w:iCs/>
              </w:rPr>
              <w:t>Support the continuity of</w:t>
            </w:r>
            <w:r>
              <w:rPr>
                <w:rFonts w:hint="eastAsia"/>
                <w:i/>
                <w:iCs/>
                <w:lang w:val="en-US" w:eastAsia="zh-CN"/>
              </w:rPr>
              <w:t xml:space="preserve"> legacy</w:t>
            </w:r>
            <w:r>
              <w:rPr>
                <w:i/>
                <w:iCs/>
              </w:rPr>
              <w:t xml:space="preserve"> QoE measurement job</w:t>
            </w:r>
            <w:r>
              <w:rPr>
                <w:rFonts w:hint="eastAsia"/>
                <w:i/>
                <w:iCs/>
                <w:lang w:val="en-US" w:eastAsia="zh-CN"/>
              </w:rPr>
              <w:t xml:space="preserve"> for </w:t>
            </w:r>
            <w:r>
              <w:rPr>
                <w:rFonts w:hint="eastAsia"/>
                <w:i/>
                <w:iCs/>
              </w:rPr>
              <w:t>streaming and MTSI service</w:t>
            </w:r>
            <w:r>
              <w:rPr>
                <w:rFonts w:hint="eastAsia"/>
                <w:i/>
                <w:iCs/>
                <w:lang w:val="en-US" w:eastAsia="zh-CN"/>
              </w:rPr>
              <w:t xml:space="preserve"> </w:t>
            </w:r>
            <w:r>
              <w:rPr>
                <w:i/>
                <w:iCs/>
              </w:rPr>
              <w:t>during</w:t>
            </w:r>
            <w:r>
              <w:rPr>
                <w:rFonts w:hint="eastAsia"/>
                <w:i/>
                <w:iCs/>
                <w:lang w:val="en-US" w:eastAsia="zh-CN"/>
              </w:rPr>
              <w:t xml:space="preserve"> intra-5GC</w:t>
            </w:r>
            <w:r>
              <w:rPr>
                <w:i/>
                <w:iCs/>
              </w:rPr>
              <w:t xml:space="preserve"> inter-RAT handover process</w:t>
            </w:r>
            <w:r>
              <w:rPr>
                <w:bCs/>
                <w:i/>
                <w:iCs/>
              </w:rPr>
              <w:t xml:space="preserve"> [RAN</w:t>
            </w:r>
            <w:r>
              <w:rPr>
                <w:rFonts w:hint="eastAsia"/>
                <w:bCs/>
                <w:i/>
                <w:iCs/>
                <w:lang w:val="en-US" w:eastAsia="zh-CN"/>
              </w:rPr>
              <w:t>2</w:t>
            </w:r>
            <w:r>
              <w:rPr>
                <w:bCs/>
                <w:i/>
                <w:iCs/>
              </w:rPr>
              <w:t>, RAN</w:t>
            </w:r>
            <w:r>
              <w:rPr>
                <w:rFonts w:hint="eastAsia"/>
                <w:bCs/>
                <w:i/>
                <w:iCs/>
                <w:lang w:val="en-US" w:eastAsia="zh-CN"/>
              </w:rPr>
              <w:t>3]</w:t>
            </w:r>
            <w:r>
              <w:rPr>
                <w:i/>
                <w:iCs/>
              </w:rPr>
              <w:t>.</w:t>
            </w:r>
          </w:p>
          <w:p>
            <w:pPr>
              <w:pStyle w:val="46"/>
              <w:numPr>
                <w:ilvl w:val="0"/>
                <w:numId w:val="0"/>
              </w:numPr>
              <w:spacing w:after="0"/>
              <w:ind w:left="0" w:leftChars="0"/>
              <w:jc w:val="both"/>
              <w:textAlignment w:val="center"/>
              <w:rPr>
                <w:rFonts w:eastAsia="宋体"/>
                <w:bCs/>
                <w:i/>
                <w:sz w:val="20"/>
                <w:szCs w:val="20"/>
              </w:rPr>
            </w:pPr>
          </w:p>
        </w:tc>
      </w:tr>
    </w:tbl>
    <w:p>
      <w:pPr>
        <w:spacing w:before="120" w:beforeLines="50" w:after="100"/>
        <w:jc w:val="both"/>
        <w:textAlignment w:val="center"/>
        <w:rPr>
          <w:i w:val="0"/>
          <w:iCs w:val="0"/>
          <w:sz w:val="22"/>
          <w:szCs w:val="22"/>
        </w:rPr>
      </w:pPr>
      <w:r>
        <w:rPr>
          <w:i w:val="0"/>
          <w:iCs w:val="0"/>
          <w:sz w:val="22"/>
          <w:szCs w:val="22"/>
        </w:rPr>
        <w:t xml:space="preserve">In this contribution, we will discuss </w:t>
      </w:r>
      <w:r>
        <w:rPr>
          <w:rFonts w:eastAsia="宋体"/>
          <w:i w:val="0"/>
          <w:iCs w:val="0"/>
          <w:sz w:val="22"/>
          <w:szCs w:val="22"/>
        </w:rPr>
        <w:t>the issues</w:t>
      </w:r>
      <w:r>
        <w:rPr>
          <w:i w:val="0"/>
          <w:iCs w:val="0"/>
          <w:sz w:val="22"/>
          <w:szCs w:val="22"/>
        </w:rPr>
        <w:t xml:space="preserve"> of </w:t>
      </w:r>
      <w:r>
        <w:rPr>
          <w:i w:val="0"/>
          <w:iCs w:val="0"/>
        </w:rPr>
        <w:t>new service type</w:t>
      </w:r>
      <w:r>
        <w:rPr>
          <w:rFonts w:hint="eastAsia" w:eastAsia="宋体"/>
          <w:i w:val="0"/>
          <w:iCs w:val="0"/>
          <w:lang w:val="en-US" w:eastAsia="zh-CN"/>
        </w:rPr>
        <w:t>s</w:t>
      </w:r>
      <w:r>
        <w:rPr>
          <w:rFonts w:hint="eastAsia"/>
          <w:bCs/>
          <w:i w:val="0"/>
          <w:iCs w:val="0"/>
          <w:lang w:val="en-US" w:eastAsia="zh-CN"/>
        </w:rPr>
        <w:t xml:space="preserve"> </w:t>
      </w:r>
      <w:r>
        <w:rPr>
          <w:i w:val="0"/>
          <w:iCs w:val="0"/>
          <w:sz w:val="22"/>
          <w:szCs w:val="22"/>
        </w:rPr>
        <w:t>and</w:t>
      </w:r>
      <w:r>
        <w:rPr>
          <w:rFonts w:hint="eastAsia" w:eastAsia="宋体"/>
          <w:i w:val="0"/>
          <w:iCs w:val="0"/>
          <w:sz w:val="22"/>
          <w:szCs w:val="22"/>
        </w:rPr>
        <w:t xml:space="preserve"> </w:t>
      </w:r>
      <w:r>
        <w:rPr>
          <w:i w:val="0"/>
          <w:iCs w:val="0"/>
        </w:rPr>
        <w:t>the continuity of</w:t>
      </w:r>
      <w:r>
        <w:rPr>
          <w:rFonts w:hint="eastAsia"/>
          <w:i w:val="0"/>
          <w:iCs w:val="0"/>
          <w:lang w:val="en-US" w:eastAsia="zh-CN"/>
        </w:rPr>
        <w:t xml:space="preserve"> legacy</w:t>
      </w:r>
      <w:r>
        <w:rPr>
          <w:i w:val="0"/>
          <w:iCs w:val="0"/>
        </w:rPr>
        <w:t xml:space="preserve"> QoE measuremen</w:t>
      </w:r>
      <w:r>
        <w:rPr>
          <w:rFonts w:hint="eastAsia" w:eastAsia="宋体"/>
          <w:i w:val="0"/>
          <w:iCs w:val="0"/>
          <w:lang w:val="en-US" w:eastAsia="zh-CN"/>
        </w:rPr>
        <w:t>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val="en-US" w:eastAsia="zh-CN"/>
        </w:rPr>
        <w:t>New service types</w:t>
      </w:r>
    </w:p>
    <w:p>
      <w:pPr>
        <w:spacing w:before="120" w:after="120" w:line="260" w:lineRule="auto"/>
        <w:jc w:val="both"/>
        <w:rPr>
          <w:rFonts w:hint="default" w:eastAsia="宋体"/>
          <w:sz w:val="22"/>
          <w:szCs w:val="22"/>
          <w:lang w:val="en-US" w:eastAsia="zh-CN"/>
        </w:rPr>
      </w:pPr>
      <w:r>
        <w:rPr>
          <w:rFonts w:hint="eastAsia" w:eastAsia="宋体"/>
          <w:sz w:val="22"/>
          <w:szCs w:val="22"/>
          <w:lang w:val="en-US" w:eastAsia="zh-CN"/>
        </w:rPr>
        <w:t xml:space="preserve">In Rel 18, considering some new supported service types </w:t>
      </w:r>
      <w:r>
        <w:rPr>
          <w:rFonts w:hint="eastAsia" w:eastAsia="宋体"/>
          <w:i w:val="0"/>
          <w:iCs w:val="0"/>
          <w:sz w:val="22"/>
          <w:szCs w:val="22"/>
          <w:lang w:val="en-US" w:eastAsia="zh-CN"/>
        </w:rPr>
        <w:t xml:space="preserve">(e.g., </w:t>
      </w:r>
      <w:r>
        <w:rPr>
          <w:i w:val="0"/>
          <w:iCs w:val="0"/>
          <w:sz w:val="22"/>
          <w:szCs w:val="22"/>
        </w:rPr>
        <w:t>AR, MR</w:t>
      </w:r>
      <w:r>
        <w:rPr>
          <w:rFonts w:hint="eastAsia" w:eastAsia="宋体"/>
          <w:i w:val="0"/>
          <w:iCs w:val="0"/>
          <w:sz w:val="22"/>
          <w:szCs w:val="22"/>
          <w:lang w:val="en-US" w:eastAsia="zh-CN"/>
        </w:rPr>
        <w:t xml:space="preserve"> and</w:t>
      </w:r>
      <w:r>
        <w:rPr>
          <w:i w:val="0"/>
          <w:iCs w:val="0"/>
          <w:sz w:val="22"/>
          <w:szCs w:val="22"/>
        </w:rPr>
        <w:t xml:space="preserve"> MBS</w:t>
      </w:r>
      <w:r>
        <w:rPr>
          <w:rFonts w:hint="eastAsia" w:eastAsia="宋体"/>
          <w:i w:val="0"/>
          <w:iCs w:val="0"/>
          <w:sz w:val="22"/>
          <w:szCs w:val="22"/>
          <w:lang w:val="en-US" w:eastAsia="zh-CN"/>
        </w:rPr>
        <w:t>)</w:t>
      </w:r>
      <w:r>
        <w:rPr>
          <w:rFonts w:hint="eastAsia" w:eastAsia="宋体"/>
          <w:sz w:val="22"/>
          <w:szCs w:val="22"/>
          <w:lang w:val="en-US" w:eastAsia="zh-CN"/>
        </w:rPr>
        <w:t xml:space="preserve"> in the QoE measurement, it is necessary to carry the new service types when performing the QoE measurement. But in SA4's reply LS t</w:t>
      </w:r>
      <w:r>
        <w:rPr>
          <w:rFonts w:hint="eastAsia" w:eastAsia="宋体"/>
          <w:sz w:val="22"/>
          <w:szCs w:val="22"/>
          <w:highlight w:val="none"/>
          <w:lang w:val="en-US" w:eastAsia="zh-CN"/>
        </w:rPr>
        <w:t xml:space="preserve">o RAN3, RAN3 respectfully asks SA4 the status and plans to define QoE metrics for AR, MR and MBS in Rel-18. </w:t>
      </w:r>
      <w:r>
        <w:rPr>
          <w:rFonts w:hint="eastAsia"/>
          <w:b w:val="0"/>
          <w:bCs w:val="0"/>
          <w:highlight w:val="none"/>
          <w:lang w:val="en-US" w:eastAsia="zh-CN"/>
        </w:rPr>
        <w:t xml:space="preserve">Therefore, </w:t>
      </w:r>
      <w:r>
        <w:rPr>
          <w:rFonts w:hint="eastAsia" w:eastAsia="宋体"/>
          <w:bCs/>
          <w:highlight w:val="none"/>
          <w:lang w:val="en-US" w:eastAsia="zh-CN"/>
        </w:rPr>
        <w:t>we think we need to wait for RAN3</w:t>
      </w:r>
      <w:r>
        <w:rPr>
          <w:rFonts w:eastAsia="宋体"/>
          <w:bCs/>
          <w:highlight w:val="none"/>
          <w:lang w:val="en-US" w:eastAsia="zh-CN"/>
        </w:rPr>
        <w:t>’</w:t>
      </w:r>
      <w:r>
        <w:rPr>
          <w:rFonts w:hint="eastAsia" w:eastAsia="宋体"/>
          <w:bCs/>
          <w:highlight w:val="none"/>
          <w:lang w:val="en-US" w:eastAsia="zh-CN"/>
        </w:rPr>
        <w:t>s conclusion on this topic.</w:t>
      </w:r>
    </w:p>
    <w:p>
      <w:pPr>
        <w:spacing w:before="120" w:after="120" w:line="260" w:lineRule="auto"/>
        <w:jc w:val="both"/>
        <w:rPr>
          <w:rFonts w:hint="default" w:eastAsia="宋体"/>
          <w:b/>
          <w:bCs/>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waits for RAN3</w:t>
      </w:r>
      <w:r>
        <w:rPr>
          <w:rFonts w:hint="eastAsia"/>
          <w:b/>
          <w:bCs/>
          <w:strike w:val="0"/>
          <w:dstrike w:val="0"/>
          <w:lang w:val="en-US" w:eastAsia="zh-CN"/>
        </w:rPr>
        <w:t>’s conclusion</w:t>
      </w:r>
      <w:r>
        <w:rPr>
          <w:rFonts w:hint="eastAsia" w:eastAsia="宋体"/>
          <w:b/>
          <w:bCs/>
          <w:lang w:val="en-US" w:eastAsia="zh-CN"/>
        </w:rPr>
        <w:t xml:space="preserve"> about the new service types.</w:t>
      </w:r>
    </w:p>
    <w:p>
      <w:pPr>
        <w:pStyle w:val="3"/>
        <w:spacing w:line="360" w:lineRule="auto"/>
        <w:rPr>
          <w:rStyle w:val="25"/>
          <w:rFonts w:hint="eastAsia" w:ascii="Arial" w:hAnsi="Arial" w:eastAsia="宋体" w:cs="Arial"/>
          <w:b/>
          <w:bCs/>
          <w:color w:val="auto"/>
          <w:lang w:val="en-US" w:eastAsia="zh-CN"/>
        </w:rPr>
      </w:pPr>
      <w:bookmarkStart w:id="0" w:name="OLE_LINK2"/>
      <w:r>
        <w:rPr>
          <w:rStyle w:val="25"/>
          <w:rFonts w:hint="eastAsia" w:ascii="Arial" w:hAnsi="Arial" w:eastAsia="宋体" w:cs="Arial"/>
          <w:b/>
          <w:bCs/>
          <w:color w:val="auto"/>
          <w:lang w:val="en-US" w:eastAsia="zh-CN"/>
        </w:rPr>
        <w:t>Continuity of legacy QoE measurement</w:t>
      </w:r>
    </w:p>
    <w:p>
      <w:pPr>
        <w:spacing w:after="120" w:afterLines="50"/>
        <w:jc w:val="both"/>
        <w:rPr>
          <w:rFonts w:hint="default" w:ascii="Times New Roman" w:hAnsi="Times New Roman" w:cs="Times New Roman"/>
          <w:bCs/>
          <w:lang w:val="en-US" w:eastAsia="zh-CN"/>
        </w:rPr>
      </w:pPr>
      <w:r>
        <w:rPr>
          <w:rFonts w:hint="eastAsia" w:ascii="Times New Roman" w:hAnsi="Times New Roman" w:cs="Times New Roman"/>
          <w:bCs/>
          <w:lang w:val="en-US" w:eastAsia="zh-CN"/>
        </w:rPr>
        <w:t xml:space="preserve">In the intra-5GC inter-RAT handover process, </w:t>
      </w:r>
      <w:r>
        <w:rPr>
          <w:rFonts w:hint="eastAsia" w:cs="Times New Roman"/>
          <w:bCs/>
          <w:lang w:val="en-US" w:eastAsia="zh-CN"/>
        </w:rPr>
        <w:t>t</w:t>
      </w:r>
      <w:r>
        <w:rPr>
          <w:rFonts w:hint="eastAsia" w:ascii="Times New Roman" w:hAnsi="Times New Roman" w:cs="Times New Roman"/>
          <w:bCs/>
          <w:lang w:val="en-US" w:eastAsia="zh-CN"/>
        </w:rPr>
        <w:t>he QoE measurement function</w:t>
      </w:r>
      <w:r>
        <w:rPr>
          <w:rFonts w:hint="eastAsia" w:cs="Times New Roman"/>
          <w:bCs/>
          <w:lang w:val="en-US" w:eastAsia="zh-CN"/>
        </w:rPr>
        <w:t>s</w:t>
      </w:r>
      <w:r>
        <w:rPr>
          <w:rFonts w:hint="eastAsia" w:ascii="Times New Roman" w:hAnsi="Times New Roman" w:cs="Times New Roman"/>
          <w:bCs/>
          <w:lang w:val="en-US" w:eastAsia="zh-CN"/>
        </w:rPr>
        <w:t xml:space="preserve"> supported by LTE and NR are different, and there are the following problems to ensure continuity</w:t>
      </w:r>
      <w:r>
        <w:rPr>
          <w:rFonts w:hint="eastAsia" w:cs="Times New Roman"/>
          <w:bCs/>
          <w:lang w:val="en-US" w:eastAsia="zh-CN"/>
        </w:rPr>
        <w:t>:</w:t>
      </w:r>
    </w:p>
    <w:p>
      <w:pPr>
        <w:spacing w:after="120" w:afterLines="50"/>
        <w:ind w:leftChars="100"/>
        <w:jc w:val="both"/>
        <w:rPr>
          <w:rFonts w:hint="eastAsia" w:ascii="Times New Roman" w:hAnsi="Times New Roman" w:cs="Times New Roman"/>
          <w:bCs/>
          <w:lang w:val="en-US" w:eastAsia="zh-CN"/>
        </w:rPr>
      </w:pPr>
      <w:r>
        <w:rPr>
          <w:rFonts w:hint="eastAsia"/>
          <w:lang w:val="en-US" w:eastAsia="zh-CN"/>
        </w:rPr>
        <w:t>-For handover from source gNB to target ng-eNB, more than one QoE measurement collection jobs may have been activated for a service type (e.g. streaming or MTSI) in the source gNB, but the target ng-eNB can only support one QoE measurement collection job for the service type.</w:t>
      </w:r>
    </w:p>
    <w:p>
      <w:pPr>
        <w:spacing w:after="120" w:afterLines="50"/>
        <w:ind w:leftChars="100"/>
        <w:jc w:val="both"/>
        <w:rPr>
          <w:rFonts w:hint="eastAsia"/>
          <w:lang w:val="en-US" w:eastAsia="zh-CN"/>
        </w:rPr>
      </w:pPr>
      <w:r>
        <w:rPr>
          <w:rFonts w:hint="eastAsia"/>
          <w:lang w:val="en-US" w:eastAsia="zh-CN"/>
        </w:rPr>
        <w:t xml:space="preserve">-For handover from source ng-eNB to target gNB, how does the target gNB configure </w:t>
      </w:r>
      <w:r>
        <w:rPr>
          <w:rFonts w:hint="eastAsia"/>
          <w:i/>
          <w:iCs/>
          <w:lang w:val="en-US" w:eastAsia="zh-CN"/>
        </w:rPr>
        <w:t>measConfigAppLayerID</w:t>
      </w:r>
      <w:r>
        <w:rPr>
          <w:rFonts w:hint="eastAsia"/>
          <w:lang w:val="en-US" w:eastAsia="zh-CN"/>
        </w:rPr>
        <w:t xml:space="preserve"> for the source ng-eNB is also a problem that needs to be analyzed?</w:t>
      </w:r>
    </w:p>
    <w:p>
      <w:pPr>
        <w:spacing w:after="120" w:afterLines="50"/>
        <w:jc w:val="both"/>
        <w:rPr>
          <w:rFonts w:hint="default" w:cs="Times New Roman"/>
          <w:bCs/>
          <w:lang w:val="en-US" w:eastAsia="zh-CN"/>
        </w:rPr>
      </w:pPr>
      <w:r>
        <w:rPr>
          <w:rFonts w:hint="eastAsia" w:cs="Times New Roman"/>
          <w:bCs/>
          <w:lang w:val="en-US" w:eastAsia="zh-CN"/>
        </w:rPr>
        <w:t>In our understanding, the above problems may be easily resolved if the QoE measurement function supported by LTE can be enhanced. However, impact to LTE specs have been removed from the WID in RAN plenary, which means RAN2 need more time to discuss if there are any solution involving only NR that can resolve this issues in R18, while the solution may be complicated and inefficient. Further, considering that there are many important topics that need to be discussed in the current WID while the time budget is limited, perhaps RAN2 can consider lower the priority of this topic and postpone the discussion.</w:t>
      </w:r>
    </w:p>
    <w:p>
      <w:pPr>
        <w:spacing w:before="120" w:after="120" w:line="260" w:lineRule="auto"/>
        <w:jc w:val="left"/>
        <w:rPr>
          <w:rFonts w:hint="eastAsia" w:eastAsia="宋体"/>
          <w:b/>
          <w:bCs/>
          <w:lang w:val="en-US" w:eastAsia="zh-CN"/>
        </w:rPr>
      </w:pPr>
      <w:r>
        <w:rPr>
          <w:b/>
          <w:bCs/>
        </w:rPr>
        <w:t>Proposa</w:t>
      </w:r>
      <w:r>
        <w:rPr>
          <w:rFonts w:hint="eastAsia"/>
          <w:b/>
          <w:bCs/>
          <w:lang w:val="en-US" w:eastAsia="zh-CN"/>
        </w:rPr>
        <w:t>l 2</w:t>
      </w:r>
      <w:r>
        <w:rPr>
          <w:b/>
          <w:bCs/>
        </w:rPr>
        <w:t>:</w:t>
      </w:r>
      <w:r>
        <w:rPr>
          <w:rFonts w:hint="eastAsia" w:eastAsia="宋体"/>
          <w:b/>
          <w:bCs/>
          <w:lang w:val="en-US" w:eastAsia="zh-CN"/>
        </w:rPr>
        <w:t xml:space="preserve"> In R18, RAN2 deprioritize the study of continuity of legacy QoE measurements </w:t>
      </w:r>
      <w:r>
        <w:rPr>
          <w:rFonts w:hint="eastAsia" w:eastAsia="宋体"/>
          <w:b/>
          <w:bCs/>
          <w:lang w:eastAsia="zh-CN"/>
        </w:rPr>
        <w:t>during</w:t>
      </w:r>
      <w:r>
        <w:rPr>
          <w:rFonts w:hint="eastAsia" w:eastAsia="宋体"/>
          <w:b/>
          <w:bCs/>
          <w:lang w:val="en-US" w:eastAsia="zh-CN"/>
        </w:rPr>
        <w:t xml:space="preserve"> intra-5GC</w:t>
      </w:r>
      <w:r>
        <w:rPr>
          <w:rFonts w:hint="eastAsia" w:eastAsia="宋体"/>
          <w:b/>
          <w:bCs/>
          <w:lang w:eastAsia="zh-CN"/>
        </w:rPr>
        <w:t xml:space="preserve"> inter-RAT handover</w:t>
      </w:r>
      <w:r>
        <w:rPr>
          <w:rFonts w:hint="eastAsia" w:eastAsia="宋体"/>
          <w:b/>
          <w:bCs/>
          <w:lang w:val="en-US" w:eastAsia="zh-CN"/>
        </w:rPr>
        <w:t>.</w:t>
      </w:r>
    </w:p>
    <w:bookmarkEnd w:id="0"/>
    <w:p>
      <w:pPr>
        <w:pStyle w:val="2"/>
        <w:rPr>
          <w:rFonts w:cs="Arial"/>
          <w:b/>
          <w:lang w:val="en-US"/>
        </w:rPr>
      </w:pPr>
      <w:bookmarkStart w:id="1" w:name="_Hlk83889356"/>
      <w:bookmarkStart w:id="2" w:name="_Hlk83889312"/>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rFonts w:hint="default" w:eastAsia="宋体"/>
          <w:b/>
          <w:bCs/>
          <w:lang w:val="en-US" w:eastAsia="zh-CN"/>
        </w:rPr>
      </w:pPr>
      <w:r>
        <w:rPr>
          <w:b/>
          <w:bCs/>
        </w:rPr>
        <w:t>Proposa</w:t>
      </w:r>
      <w:r>
        <w:rPr>
          <w:rFonts w:hint="eastAsia"/>
          <w:b/>
          <w:bCs/>
          <w:lang w:val="en-US" w:eastAsia="zh-CN"/>
        </w:rPr>
        <w:t>l 1</w:t>
      </w:r>
      <w:r>
        <w:rPr>
          <w:b/>
          <w:bCs/>
        </w:rPr>
        <w:t>:</w:t>
      </w:r>
      <w:r>
        <w:rPr>
          <w:rFonts w:hint="eastAsia" w:eastAsia="宋体"/>
          <w:b/>
          <w:bCs/>
          <w:lang w:val="en-US" w:eastAsia="zh-CN"/>
        </w:rPr>
        <w:t xml:space="preserve"> RAN2 waits for RAN3</w:t>
      </w:r>
      <w:r>
        <w:rPr>
          <w:rFonts w:hint="eastAsia"/>
          <w:b/>
          <w:bCs/>
          <w:strike w:val="0"/>
          <w:dstrike w:val="0"/>
          <w:lang w:val="en-US" w:eastAsia="zh-CN"/>
        </w:rPr>
        <w:t>’s conclusion</w:t>
      </w:r>
      <w:r>
        <w:rPr>
          <w:rFonts w:hint="eastAsia" w:eastAsia="宋体"/>
          <w:b/>
          <w:bCs/>
          <w:lang w:val="en-US" w:eastAsia="zh-CN"/>
        </w:rPr>
        <w:t xml:space="preserve"> about the new service types.</w:t>
      </w:r>
    </w:p>
    <w:bookmarkEnd w:id="2"/>
    <w:bookmarkEnd w:id="3"/>
    <w:p>
      <w:pPr>
        <w:spacing w:before="120" w:after="120" w:line="260" w:lineRule="auto"/>
        <w:jc w:val="left"/>
        <w:rPr>
          <w:rFonts w:hint="eastAsia" w:eastAsia="宋体"/>
          <w:b/>
          <w:bCs/>
          <w:lang w:val="en-US" w:eastAsia="zh-CN"/>
        </w:rPr>
      </w:pPr>
      <w:r>
        <w:rPr>
          <w:b/>
          <w:bCs/>
        </w:rPr>
        <w:t>Proposa</w:t>
      </w:r>
      <w:r>
        <w:rPr>
          <w:rFonts w:hint="eastAsia"/>
          <w:b/>
          <w:bCs/>
          <w:lang w:val="en-US" w:eastAsia="zh-CN"/>
        </w:rPr>
        <w:t>l 2</w:t>
      </w:r>
      <w:r>
        <w:rPr>
          <w:b/>
          <w:bCs/>
        </w:rPr>
        <w:t>:</w:t>
      </w:r>
      <w:r>
        <w:rPr>
          <w:rFonts w:hint="eastAsia" w:eastAsia="宋体"/>
          <w:b/>
          <w:bCs/>
          <w:lang w:val="en-US" w:eastAsia="zh-CN"/>
        </w:rPr>
        <w:t xml:space="preserve"> In R18, RAN2 deprioritize the study of continuity of legacy QoE measurements </w:t>
      </w:r>
      <w:r>
        <w:rPr>
          <w:rFonts w:hint="eastAsia" w:eastAsia="宋体"/>
          <w:b/>
          <w:bCs/>
          <w:lang w:eastAsia="zh-CN"/>
        </w:rPr>
        <w:t>during</w:t>
      </w:r>
      <w:r>
        <w:rPr>
          <w:rFonts w:hint="eastAsia" w:eastAsia="宋体"/>
          <w:b/>
          <w:bCs/>
          <w:lang w:val="en-US" w:eastAsia="zh-CN"/>
        </w:rPr>
        <w:t xml:space="preserve"> intra-5GC</w:t>
      </w:r>
      <w:r>
        <w:rPr>
          <w:rFonts w:hint="eastAsia" w:eastAsia="宋体"/>
          <w:b/>
          <w:bCs/>
          <w:lang w:eastAsia="zh-CN"/>
        </w:rPr>
        <w:t xml:space="preserve"> inter-RAT handover</w:t>
      </w:r>
      <w:r>
        <w:rPr>
          <w:rFonts w:hint="eastAsia" w:eastAsia="宋体"/>
          <w:b/>
          <w:bCs/>
          <w:lang w:val="en-US" w:eastAsia="zh-CN"/>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bookmarkStart w:id="5" w:name="_GoBack"/>
      <w:bookmarkEnd w:id="5"/>
      <w:r>
        <w:rPr>
          <w:rFonts w:ascii="Arial" w:hAnsi="Arial" w:eastAsia="Times New Roman" w:cs="Times New Roman"/>
          <w:sz w:val="36"/>
          <w:szCs w:val="20"/>
          <w:lang w:eastAsia="ja-JP"/>
        </w:rPr>
        <w:t xml:space="preserve"> References</w:t>
      </w:r>
    </w:p>
    <w:p>
      <w:pPr>
        <w:pStyle w:val="46"/>
        <w:numPr>
          <w:ilvl w:val="0"/>
          <w:numId w:val="9"/>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游明朝">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汉仪仿宋简">
    <w:panose1 w:val="02010600000101010101"/>
    <w:charset w:val="86"/>
    <w:family w:val="auto"/>
    <w:pitch w:val="default"/>
    <w:sig w:usb0="00000001" w:usb1="080E0800" w:usb2="00000002"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8"/>
  </w:num>
  <w:num w:numId="3">
    <w:abstractNumId w:val="3"/>
  </w:num>
  <w:num w:numId="4">
    <w:abstractNumId w:val="6"/>
  </w:num>
  <w:num w:numId="5">
    <w:abstractNumId w:val="7"/>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3C33AB3"/>
    <w:rsid w:val="06D0D49D"/>
    <w:rsid w:val="070A7848"/>
    <w:rsid w:val="0E3E9496"/>
    <w:rsid w:val="0E5F9CB4"/>
    <w:rsid w:val="0F0EE4C1"/>
    <w:rsid w:val="121A43C3"/>
    <w:rsid w:val="12496A3B"/>
    <w:rsid w:val="14743F25"/>
    <w:rsid w:val="15A77CF7"/>
    <w:rsid w:val="15EFE608"/>
    <w:rsid w:val="1D954282"/>
    <w:rsid w:val="1DFBF6E4"/>
    <w:rsid w:val="1EDE4DFF"/>
    <w:rsid w:val="1F4C11C0"/>
    <w:rsid w:val="1FED5282"/>
    <w:rsid w:val="24BE5892"/>
    <w:rsid w:val="26882CCD"/>
    <w:rsid w:val="26F7BF4C"/>
    <w:rsid w:val="27FF4E9B"/>
    <w:rsid w:val="297DC4A8"/>
    <w:rsid w:val="2F8E5407"/>
    <w:rsid w:val="315601A1"/>
    <w:rsid w:val="316A5656"/>
    <w:rsid w:val="31FE24B3"/>
    <w:rsid w:val="326A457D"/>
    <w:rsid w:val="34674028"/>
    <w:rsid w:val="36EE39A5"/>
    <w:rsid w:val="39F73F8B"/>
    <w:rsid w:val="3A00635D"/>
    <w:rsid w:val="3A6D81E3"/>
    <w:rsid w:val="3AFD6523"/>
    <w:rsid w:val="3BE3D02D"/>
    <w:rsid w:val="3BFF0C49"/>
    <w:rsid w:val="3E985826"/>
    <w:rsid w:val="3F6203BF"/>
    <w:rsid w:val="3FF79F2F"/>
    <w:rsid w:val="3FFA43A6"/>
    <w:rsid w:val="3FFADB85"/>
    <w:rsid w:val="3FFD8422"/>
    <w:rsid w:val="456D246E"/>
    <w:rsid w:val="457B68DE"/>
    <w:rsid w:val="462420DE"/>
    <w:rsid w:val="4693A455"/>
    <w:rsid w:val="49D1242C"/>
    <w:rsid w:val="53DBFC72"/>
    <w:rsid w:val="54140328"/>
    <w:rsid w:val="55FD291D"/>
    <w:rsid w:val="56DD3CBA"/>
    <w:rsid w:val="570E7D91"/>
    <w:rsid w:val="5752678E"/>
    <w:rsid w:val="57F9F4C0"/>
    <w:rsid w:val="59F61CB3"/>
    <w:rsid w:val="5A49DD30"/>
    <w:rsid w:val="5A874152"/>
    <w:rsid w:val="5B0F4579"/>
    <w:rsid w:val="5B47CE77"/>
    <w:rsid w:val="5BBF1214"/>
    <w:rsid w:val="5EB79E98"/>
    <w:rsid w:val="5EE6136B"/>
    <w:rsid w:val="5F236657"/>
    <w:rsid w:val="5F329599"/>
    <w:rsid w:val="60A80188"/>
    <w:rsid w:val="62FF9A58"/>
    <w:rsid w:val="677D7344"/>
    <w:rsid w:val="67E56CE4"/>
    <w:rsid w:val="6843BC62"/>
    <w:rsid w:val="691275D4"/>
    <w:rsid w:val="6962E34B"/>
    <w:rsid w:val="69E5BA5C"/>
    <w:rsid w:val="6A900D7F"/>
    <w:rsid w:val="6AEC7E8E"/>
    <w:rsid w:val="6B0278D1"/>
    <w:rsid w:val="6C286E44"/>
    <w:rsid w:val="6C76434F"/>
    <w:rsid w:val="6CA8A0BD"/>
    <w:rsid w:val="6CF94B0A"/>
    <w:rsid w:val="6D074150"/>
    <w:rsid w:val="6E6F6473"/>
    <w:rsid w:val="6EBD79AA"/>
    <w:rsid w:val="6EDFE721"/>
    <w:rsid w:val="6F7FE3F0"/>
    <w:rsid w:val="6FC7F1BE"/>
    <w:rsid w:val="71B722E2"/>
    <w:rsid w:val="727428C1"/>
    <w:rsid w:val="737F5333"/>
    <w:rsid w:val="73FF9F8C"/>
    <w:rsid w:val="757BF952"/>
    <w:rsid w:val="767F27D6"/>
    <w:rsid w:val="769A4D54"/>
    <w:rsid w:val="76F43E69"/>
    <w:rsid w:val="772E1279"/>
    <w:rsid w:val="776FEFA2"/>
    <w:rsid w:val="77EECA84"/>
    <w:rsid w:val="77FF9A68"/>
    <w:rsid w:val="79E13B9D"/>
    <w:rsid w:val="7A6E44C1"/>
    <w:rsid w:val="7AA3A95B"/>
    <w:rsid w:val="7AA9E0DC"/>
    <w:rsid w:val="7AD659AC"/>
    <w:rsid w:val="7B751B3D"/>
    <w:rsid w:val="7BF5E087"/>
    <w:rsid w:val="7BFBF581"/>
    <w:rsid w:val="7DB7BF42"/>
    <w:rsid w:val="7DBB01E5"/>
    <w:rsid w:val="7DBBD3E5"/>
    <w:rsid w:val="7E6FD489"/>
    <w:rsid w:val="7E7F0942"/>
    <w:rsid w:val="7EB31986"/>
    <w:rsid w:val="7EBF876E"/>
    <w:rsid w:val="7ECCADB2"/>
    <w:rsid w:val="7EEEEF79"/>
    <w:rsid w:val="7EF62DE7"/>
    <w:rsid w:val="7EFECE0E"/>
    <w:rsid w:val="7F6FC3DB"/>
    <w:rsid w:val="7F7D579B"/>
    <w:rsid w:val="7F7D7656"/>
    <w:rsid w:val="7F992501"/>
    <w:rsid w:val="7FA2C79D"/>
    <w:rsid w:val="7FDE9AA9"/>
    <w:rsid w:val="7FE3032F"/>
    <w:rsid w:val="7FEC6F91"/>
    <w:rsid w:val="7FFB8F88"/>
    <w:rsid w:val="7FFFB156"/>
    <w:rsid w:val="95FFC9B4"/>
    <w:rsid w:val="9BAE45FC"/>
    <w:rsid w:val="9EF63205"/>
    <w:rsid w:val="A3DE6C07"/>
    <w:rsid w:val="AAD38468"/>
    <w:rsid w:val="ABEE53F4"/>
    <w:rsid w:val="AFC6D7E0"/>
    <w:rsid w:val="B57E36BC"/>
    <w:rsid w:val="B65A7AAE"/>
    <w:rsid w:val="BA4D5325"/>
    <w:rsid w:val="BB6C1E6C"/>
    <w:rsid w:val="BBCB115D"/>
    <w:rsid w:val="BCF5EDDE"/>
    <w:rsid w:val="BE7E8A05"/>
    <w:rsid w:val="BEBFB4D1"/>
    <w:rsid w:val="BF3F4E4A"/>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F91EB3"/>
    <w:rsid w:val="DDEC5EFC"/>
    <w:rsid w:val="DDFF1BDE"/>
    <w:rsid w:val="DEFC8A9A"/>
    <w:rsid w:val="DFED06EF"/>
    <w:rsid w:val="E4BF6A47"/>
    <w:rsid w:val="E83D41F3"/>
    <w:rsid w:val="EAEABC4D"/>
    <w:rsid w:val="EBF78488"/>
    <w:rsid w:val="ED5FB71C"/>
    <w:rsid w:val="EFB334B9"/>
    <w:rsid w:val="F2FF8C5C"/>
    <w:rsid w:val="F3775739"/>
    <w:rsid w:val="F63F3C85"/>
    <w:rsid w:val="F6657418"/>
    <w:rsid w:val="F6B552BA"/>
    <w:rsid w:val="F6FC273B"/>
    <w:rsid w:val="F79D2B10"/>
    <w:rsid w:val="F7EE441C"/>
    <w:rsid w:val="F7EE4F89"/>
    <w:rsid w:val="F9B7C2FB"/>
    <w:rsid w:val="F9BFB2A1"/>
    <w:rsid w:val="FADD67B2"/>
    <w:rsid w:val="FB4E9BD6"/>
    <w:rsid w:val="FBBBFC1E"/>
    <w:rsid w:val="FBEFE8AE"/>
    <w:rsid w:val="FBF7563B"/>
    <w:rsid w:val="FBFAD513"/>
    <w:rsid w:val="FBFCBB6D"/>
    <w:rsid w:val="FBFFA049"/>
    <w:rsid w:val="FC71C2BC"/>
    <w:rsid w:val="FCCECD9C"/>
    <w:rsid w:val="FCD82315"/>
    <w:rsid w:val="FCF704CC"/>
    <w:rsid w:val="FCFB4383"/>
    <w:rsid w:val="FDE71F62"/>
    <w:rsid w:val="FDFF4BA5"/>
    <w:rsid w:val="FDFFA44C"/>
    <w:rsid w:val="FECD7B5E"/>
    <w:rsid w:val="FEFE0680"/>
    <w:rsid w:val="FEFE7999"/>
    <w:rsid w:val="FF65430A"/>
    <w:rsid w:val="FF773F42"/>
    <w:rsid w:val="FF9F3F6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1"/>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2"/>
    <w:qFormat/>
    <w:uiPriority w:val="0"/>
    <w:rPr>
      <w:rFonts w:ascii="Arial" w:hAnsi="Arial" w:eastAsia="Times New Roman" w:cs="Times New Roman"/>
      <w:sz w:val="36"/>
      <w:szCs w:val="20"/>
      <w:lang w:val="en-GB" w:eastAsia="ja-JP"/>
    </w:rPr>
  </w:style>
  <w:style w:type="character" w:customStyle="1" w:styleId="31">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13"/>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13"/>
    <w:qFormat/>
    <w:uiPriority w:val="0"/>
    <w:rPr>
      <w:rFonts w:ascii="Arial" w:hAnsi="Arial"/>
    </w:rPr>
  </w:style>
  <w:style w:type="paragraph" w:customStyle="1" w:styleId="42">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2"/>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1"/>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0</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2022-05-06T06:46:00Z</dcterms:created>
  <dcterms:modified xsi:type="dcterms:W3CDTF">2023-02-16T20:32:51Z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